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C9" w:rsidRDefault="00CB5D6E" w:rsidP="00CB5D6E">
      <w:pPr>
        <w:rPr>
          <w:rFonts w:ascii="Tahoma" w:hAnsi="Tahoma" w:cs="Tahoma"/>
          <w:b/>
          <w:sz w:val="22"/>
          <w:szCs w:val="22"/>
        </w:rPr>
      </w:pPr>
      <w:r>
        <w:rPr>
          <w:rFonts w:ascii="Tahoma" w:hAnsi="Tahoma" w:cs="Tahoma"/>
          <w:b/>
          <w:sz w:val="22"/>
          <w:szCs w:val="22"/>
        </w:rPr>
        <w:t xml:space="preserve">                                                                </w:t>
      </w:r>
      <w:r>
        <w:rPr>
          <w:noProof/>
        </w:rPr>
        <w:drawing>
          <wp:inline distT="0" distB="0" distL="0" distR="0">
            <wp:extent cx="400050" cy="523875"/>
            <wp:effectExtent l="19050" t="0" r="0" b="0"/>
            <wp:docPr id="1" name="Imagine 1" descr="C:\steme\clip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teme\clip0001.GIF"/>
                    <pic:cNvPicPr>
                      <a:picLocks noChangeAspect="1" noChangeArrowheads="1"/>
                    </pic:cNvPicPr>
                  </pic:nvPicPr>
                  <pic:blipFill>
                    <a:blip r:embed="rId4" r:link="rId5"/>
                    <a:srcRect/>
                    <a:stretch>
                      <a:fillRect/>
                    </a:stretch>
                  </pic:blipFill>
                  <pic:spPr bwMode="auto">
                    <a:xfrm>
                      <a:off x="0" y="0"/>
                      <a:ext cx="400050" cy="523875"/>
                    </a:xfrm>
                    <a:prstGeom prst="rect">
                      <a:avLst/>
                    </a:prstGeom>
                    <a:noFill/>
                    <a:ln w="9525">
                      <a:noFill/>
                      <a:miter lim="800000"/>
                      <a:headEnd/>
                      <a:tailEnd/>
                    </a:ln>
                  </pic:spPr>
                </pic:pic>
              </a:graphicData>
            </a:graphic>
          </wp:inline>
        </w:drawing>
      </w:r>
      <w:r>
        <w:rPr>
          <w:rFonts w:ascii="Tahoma" w:hAnsi="Tahoma" w:cs="Tahoma"/>
          <w:b/>
          <w:sz w:val="22"/>
          <w:szCs w:val="22"/>
        </w:rPr>
        <w:t xml:space="preserve"> </w:t>
      </w:r>
    </w:p>
    <w:p w:rsidR="00F766C9" w:rsidRDefault="00CB5D6E" w:rsidP="00F766C9">
      <w:pPr>
        <w:jc w:val="center"/>
        <w:rPr>
          <w:b/>
          <w:sz w:val="28"/>
          <w:szCs w:val="28"/>
          <w:lang w:val="es-MX"/>
        </w:rPr>
      </w:pPr>
      <w:r>
        <w:rPr>
          <w:b/>
          <w:sz w:val="28"/>
          <w:szCs w:val="28"/>
          <w:lang w:val="es-MX"/>
        </w:rPr>
        <w:t>ROMÂNIA</w:t>
      </w:r>
    </w:p>
    <w:p w:rsidR="00F766C9" w:rsidRDefault="00F766C9" w:rsidP="00CB5D6E">
      <w:pPr>
        <w:jc w:val="center"/>
        <w:rPr>
          <w:b/>
          <w:sz w:val="28"/>
          <w:szCs w:val="28"/>
          <w:lang w:val="es-MX"/>
        </w:rPr>
      </w:pPr>
      <w:r>
        <w:rPr>
          <w:b/>
          <w:sz w:val="28"/>
          <w:szCs w:val="28"/>
          <w:lang w:val="es-MX"/>
        </w:rPr>
        <w:t>JUDEŢUL BUZĂU</w:t>
      </w:r>
    </w:p>
    <w:p w:rsidR="00F766C9" w:rsidRDefault="00F766C9" w:rsidP="00F766C9">
      <w:pPr>
        <w:jc w:val="center"/>
        <w:rPr>
          <w:b/>
          <w:sz w:val="28"/>
          <w:szCs w:val="28"/>
          <w:lang w:val="es-MX"/>
        </w:rPr>
      </w:pPr>
      <w:r>
        <w:rPr>
          <w:b/>
          <w:sz w:val="28"/>
          <w:szCs w:val="28"/>
          <w:lang w:val="es-MX"/>
        </w:rPr>
        <w:t>CONSILIUL LOCAL</w:t>
      </w:r>
      <w:r w:rsidR="00CB5D6E">
        <w:rPr>
          <w:b/>
          <w:sz w:val="28"/>
          <w:szCs w:val="28"/>
          <w:lang w:val="es-MX"/>
        </w:rPr>
        <w:t xml:space="preserve"> COLȚI</w:t>
      </w:r>
    </w:p>
    <w:p w:rsidR="00F766C9" w:rsidRDefault="00F766C9" w:rsidP="00F766C9">
      <w:pPr>
        <w:rPr>
          <w:sz w:val="28"/>
          <w:szCs w:val="28"/>
        </w:rPr>
      </w:pPr>
    </w:p>
    <w:p w:rsidR="00CB5D6E" w:rsidRDefault="00A96478" w:rsidP="00F766C9">
      <w:pPr>
        <w:rPr>
          <w:rFonts w:ascii="Tahoma" w:hAnsi="Tahoma" w:cs="Tahoma"/>
          <w:sz w:val="26"/>
          <w:szCs w:val="26"/>
        </w:rPr>
      </w:pPr>
      <w:r>
        <w:rPr>
          <w:rFonts w:ascii="Tahoma" w:hAnsi="Tahoma" w:cs="Tahoma"/>
          <w:sz w:val="26"/>
          <w:szCs w:val="26"/>
        </w:rPr>
        <w:t xml:space="preserve"> </w:t>
      </w:r>
    </w:p>
    <w:p w:rsidR="00A96478" w:rsidRPr="00CB5D6E" w:rsidRDefault="00A96478" w:rsidP="00F766C9">
      <w:pPr>
        <w:rPr>
          <w:rFonts w:ascii="Tahoma" w:hAnsi="Tahoma" w:cs="Tahoma"/>
          <w:b/>
          <w:sz w:val="26"/>
          <w:szCs w:val="26"/>
        </w:rPr>
      </w:pPr>
    </w:p>
    <w:p w:rsidR="00F766C9" w:rsidRDefault="00F766C9" w:rsidP="00F766C9">
      <w:pPr>
        <w:jc w:val="center"/>
        <w:rPr>
          <w:b/>
          <w:sz w:val="28"/>
          <w:szCs w:val="28"/>
        </w:rPr>
      </w:pPr>
      <w:r>
        <w:rPr>
          <w:b/>
          <w:sz w:val="28"/>
          <w:szCs w:val="28"/>
        </w:rPr>
        <w:t>H O T Ă R Â R E</w:t>
      </w:r>
    </w:p>
    <w:p w:rsidR="00F766C9" w:rsidRDefault="00F766C9" w:rsidP="00F766C9">
      <w:pPr>
        <w:jc w:val="center"/>
        <w:rPr>
          <w:b/>
          <w:sz w:val="28"/>
          <w:szCs w:val="28"/>
        </w:rPr>
      </w:pPr>
      <w:r>
        <w:rPr>
          <w:b/>
          <w:sz w:val="28"/>
          <w:szCs w:val="28"/>
        </w:rPr>
        <w:t>privind trecerea imobilului cu denumirea „Clădire Muzeu” din domeniul</w:t>
      </w:r>
    </w:p>
    <w:p w:rsidR="00F766C9" w:rsidRDefault="00F766C9" w:rsidP="00F766C9">
      <w:pPr>
        <w:jc w:val="center"/>
        <w:rPr>
          <w:b/>
          <w:sz w:val="28"/>
          <w:szCs w:val="28"/>
        </w:rPr>
      </w:pPr>
      <w:r>
        <w:rPr>
          <w:b/>
          <w:sz w:val="28"/>
          <w:szCs w:val="28"/>
        </w:rPr>
        <w:t xml:space="preserve">public al comunei Colţi şi din administrarea consiliului local </w:t>
      </w:r>
    </w:p>
    <w:p w:rsidR="00F766C9" w:rsidRDefault="00F766C9" w:rsidP="00F766C9">
      <w:pPr>
        <w:jc w:val="center"/>
        <w:rPr>
          <w:sz w:val="28"/>
          <w:szCs w:val="28"/>
        </w:rPr>
      </w:pPr>
      <w:r>
        <w:rPr>
          <w:b/>
          <w:sz w:val="28"/>
          <w:szCs w:val="28"/>
        </w:rPr>
        <w:t xml:space="preserve">în domeniul public al judeţului Buzău </w:t>
      </w:r>
    </w:p>
    <w:p w:rsidR="00F766C9" w:rsidRDefault="00F766C9" w:rsidP="00F766C9">
      <w:pPr>
        <w:spacing w:line="360" w:lineRule="auto"/>
        <w:jc w:val="both"/>
        <w:rPr>
          <w:sz w:val="28"/>
          <w:szCs w:val="28"/>
        </w:rPr>
      </w:pPr>
    </w:p>
    <w:p w:rsidR="00F766C9" w:rsidRDefault="00F766C9" w:rsidP="00F766C9">
      <w:pPr>
        <w:ind w:firstLine="720"/>
        <w:jc w:val="both"/>
        <w:rPr>
          <w:sz w:val="28"/>
          <w:szCs w:val="28"/>
        </w:rPr>
      </w:pPr>
      <w:r>
        <w:rPr>
          <w:sz w:val="28"/>
          <w:szCs w:val="28"/>
        </w:rPr>
        <w:t>Consiliul Local al comunei Colţi,</w:t>
      </w:r>
    </w:p>
    <w:p w:rsidR="00F766C9" w:rsidRDefault="00F766C9" w:rsidP="00F766C9">
      <w:pPr>
        <w:ind w:firstLine="720"/>
        <w:jc w:val="both"/>
        <w:rPr>
          <w:sz w:val="28"/>
          <w:szCs w:val="28"/>
        </w:rPr>
      </w:pPr>
      <w:r>
        <w:rPr>
          <w:sz w:val="28"/>
          <w:szCs w:val="28"/>
        </w:rPr>
        <w:t>Având în vedere:</w:t>
      </w:r>
    </w:p>
    <w:p w:rsidR="00F766C9" w:rsidRDefault="00F766C9" w:rsidP="00F766C9">
      <w:pPr>
        <w:ind w:firstLine="720"/>
        <w:jc w:val="both"/>
        <w:rPr>
          <w:sz w:val="28"/>
          <w:szCs w:val="28"/>
        </w:rPr>
      </w:pPr>
      <w:r>
        <w:rPr>
          <w:sz w:val="28"/>
          <w:szCs w:val="28"/>
        </w:rPr>
        <w:t>- expunerea de motive a prim</w:t>
      </w:r>
      <w:r w:rsidR="00CB5D6E">
        <w:rPr>
          <w:sz w:val="28"/>
          <w:szCs w:val="28"/>
        </w:rPr>
        <w:t>arului, înregistrată la nr. 156</w:t>
      </w:r>
      <w:r>
        <w:rPr>
          <w:sz w:val="28"/>
          <w:szCs w:val="28"/>
        </w:rPr>
        <w:t>/2019;</w:t>
      </w:r>
    </w:p>
    <w:p w:rsidR="00F766C9" w:rsidRDefault="00F766C9" w:rsidP="00F766C9">
      <w:pPr>
        <w:ind w:firstLine="720"/>
        <w:jc w:val="both"/>
        <w:rPr>
          <w:sz w:val="28"/>
          <w:szCs w:val="28"/>
        </w:rPr>
      </w:pPr>
      <w:r>
        <w:rPr>
          <w:sz w:val="28"/>
          <w:szCs w:val="28"/>
        </w:rPr>
        <w:t>- ra</w:t>
      </w:r>
      <w:r w:rsidR="00CB5D6E">
        <w:rPr>
          <w:sz w:val="28"/>
          <w:szCs w:val="28"/>
        </w:rPr>
        <w:t xml:space="preserve">portul </w:t>
      </w:r>
      <w:r>
        <w:rPr>
          <w:sz w:val="28"/>
          <w:szCs w:val="28"/>
        </w:rPr>
        <w:t>compartimentului de specia</w:t>
      </w:r>
      <w:r w:rsidR="00CB5D6E">
        <w:rPr>
          <w:sz w:val="28"/>
          <w:szCs w:val="28"/>
        </w:rPr>
        <w:t>litate, înregistrat la nr. 157</w:t>
      </w:r>
      <w:r>
        <w:rPr>
          <w:sz w:val="28"/>
          <w:szCs w:val="28"/>
        </w:rPr>
        <w:t>/2019;</w:t>
      </w:r>
    </w:p>
    <w:p w:rsidR="00F766C9" w:rsidRDefault="00F766C9" w:rsidP="00F766C9">
      <w:pPr>
        <w:ind w:firstLine="720"/>
        <w:jc w:val="both"/>
        <w:rPr>
          <w:sz w:val="28"/>
          <w:szCs w:val="28"/>
        </w:rPr>
      </w:pPr>
      <w:r>
        <w:rPr>
          <w:sz w:val="28"/>
          <w:szCs w:val="28"/>
        </w:rPr>
        <w:t>- avizul secretarul comunei dat pe proiectul de hotărâre;</w:t>
      </w:r>
    </w:p>
    <w:p w:rsidR="00F766C9" w:rsidRDefault="00F766C9" w:rsidP="00F766C9">
      <w:pPr>
        <w:ind w:firstLine="720"/>
        <w:jc w:val="both"/>
        <w:rPr>
          <w:sz w:val="28"/>
          <w:szCs w:val="28"/>
        </w:rPr>
      </w:pPr>
      <w:r>
        <w:rPr>
          <w:sz w:val="28"/>
          <w:szCs w:val="28"/>
        </w:rPr>
        <w:t>- Hotărârea Consiliului judeţean Buzău nr.45/03.03.2017 pentru aprobarea solicitării Consiliului Judeţean Buzău de trecere din proprietatea publică a comunei Colţi în proprietatea publică a judeţului Buzău a imobilului situat în satul Colţi, comuna Colţi, cu destinaţia de „Muzeul Chihlimbarului”;</w:t>
      </w:r>
    </w:p>
    <w:p w:rsidR="00F766C9" w:rsidRDefault="00F766C9" w:rsidP="00F766C9">
      <w:pPr>
        <w:ind w:firstLine="720"/>
        <w:jc w:val="both"/>
        <w:rPr>
          <w:sz w:val="28"/>
          <w:szCs w:val="28"/>
        </w:rPr>
      </w:pPr>
      <w:r>
        <w:rPr>
          <w:sz w:val="28"/>
          <w:szCs w:val="28"/>
        </w:rPr>
        <w:t xml:space="preserve">- prevederile H.G. nr.1031/1999 pentru aprobarea Normelor metodologice privind înregistrarea în contabilitate a bunurilor care alcătuiesc domeniul public al statului şi al unităţilor </w:t>
      </w:r>
      <w:proofErr w:type="spellStart"/>
      <w:r>
        <w:rPr>
          <w:sz w:val="28"/>
          <w:szCs w:val="28"/>
        </w:rPr>
        <w:t>administrativ-</w:t>
      </w:r>
      <w:proofErr w:type="spellEnd"/>
      <w:r>
        <w:rPr>
          <w:sz w:val="28"/>
          <w:szCs w:val="28"/>
        </w:rPr>
        <w:t xml:space="preserve"> teritoriale;</w:t>
      </w:r>
    </w:p>
    <w:p w:rsidR="00F766C9" w:rsidRDefault="00F766C9" w:rsidP="00F766C9">
      <w:pPr>
        <w:ind w:firstLine="720"/>
        <w:jc w:val="both"/>
        <w:rPr>
          <w:sz w:val="28"/>
          <w:szCs w:val="28"/>
        </w:rPr>
      </w:pPr>
      <w:r>
        <w:rPr>
          <w:sz w:val="28"/>
          <w:szCs w:val="28"/>
        </w:rPr>
        <w:t>- prevederile H.G. nr.548/1999 privind aprobarea Normelor tehnice pentru   întocmirea inventarului bunurilor care alcătuiesc domeniul public al comunelor, oraşelor, municipiilor şi judeţelor;</w:t>
      </w:r>
    </w:p>
    <w:p w:rsidR="00F766C9" w:rsidRDefault="00F766C9" w:rsidP="00F766C9">
      <w:pPr>
        <w:ind w:firstLine="720"/>
        <w:jc w:val="both"/>
        <w:rPr>
          <w:sz w:val="28"/>
          <w:szCs w:val="28"/>
        </w:rPr>
      </w:pPr>
      <w:r>
        <w:rPr>
          <w:sz w:val="28"/>
          <w:szCs w:val="28"/>
        </w:rPr>
        <w:t>- anexa nr.29 din Hotărârea Guvernului nr.1348/2001 privind atestarea domeniului public al judeţului Buzău, precum şi al municipiilor, oraşelor şi comunelor din judeţul Buzău, cu modificările şi completările ulterioare;</w:t>
      </w:r>
    </w:p>
    <w:p w:rsidR="00F766C9" w:rsidRDefault="00F766C9" w:rsidP="00F766C9">
      <w:pPr>
        <w:spacing w:after="100" w:afterAutospacing="1"/>
        <w:ind w:firstLine="720"/>
        <w:jc w:val="both"/>
        <w:rPr>
          <w:sz w:val="28"/>
          <w:szCs w:val="28"/>
        </w:rPr>
      </w:pPr>
      <w:r>
        <w:rPr>
          <w:sz w:val="28"/>
          <w:szCs w:val="28"/>
        </w:rPr>
        <w:t>- prevederile Legii nr.213/1998 privind bunurile proprietate publică, cu modificările şi completările ulterioare,</w:t>
      </w:r>
    </w:p>
    <w:p w:rsidR="00F766C9" w:rsidRDefault="00F766C9" w:rsidP="00F766C9">
      <w:pPr>
        <w:jc w:val="both"/>
        <w:rPr>
          <w:sz w:val="28"/>
          <w:szCs w:val="28"/>
        </w:rPr>
      </w:pPr>
      <w:r>
        <w:rPr>
          <w:sz w:val="28"/>
          <w:szCs w:val="28"/>
        </w:rPr>
        <w:tab/>
        <w:t xml:space="preserve">În temeiul art. 36 alin. (2), lit. „c” şi art.45 din Legea nr. 215/2001 a administraţiei publice locale, republicată, cu modificările şi completările ulterioare, </w:t>
      </w:r>
    </w:p>
    <w:p w:rsidR="00F766C9" w:rsidRDefault="00F766C9" w:rsidP="00F766C9">
      <w:pPr>
        <w:jc w:val="both"/>
        <w:rPr>
          <w:sz w:val="28"/>
          <w:szCs w:val="28"/>
        </w:rPr>
      </w:pPr>
    </w:p>
    <w:p w:rsidR="00F766C9" w:rsidRDefault="00F766C9" w:rsidP="00F766C9">
      <w:pPr>
        <w:rPr>
          <w:sz w:val="28"/>
          <w:szCs w:val="28"/>
        </w:rPr>
      </w:pPr>
    </w:p>
    <w:p w:rsidR="00F766C9" w:rsidRDefault="00F766C9" w:rsidP="00F766C9">
      <w:pPr>
        <w:jc w:val="center"/>
        <w:rPr>
          <w:b/>
          <w:sz w:val="28"/>
          <w:szCs w:val="28"/>
        </w:rPr>
      </w:pPr>
      <w:r>
        <w:rPr>
          <w:b/>
          <w:sz w:val="28"/>
          <w:szCs w:val="28"/>
        </w:rPr>
        <w:t>H O T Ă R Ă Ş T E:</w:t>
      </w:r>
    </w:p>
    <w:p w:rsidR="00F766C9" w:rsidRDefault="00F766C9" w:rsidP="00F766C9">
      <w:pPr>
        <w:jc w:val="center"/>
        <w:rPr>
          <w:b/>
          <w:sz w:val="28"/>
          <w:szCs w:val="28"/>
        </w:rPr>
      </w:pPr>
    </w:p>
    <w:p w:rsidR="00F766C9" w:rsidRDefault="00F766C9" w:rsidP="00F766C9">
      <w:pPr>
        <w:jc w:val="both"/>
        <w:rPr>
          <w:sz w:val="28"/>
          <w:szCs w:val="28"/>
        </w:rPr>
      </w:pPr>
      <w:r>
        <w:rPr>
          <w:rFonts w:ascii="Tahoma" w:hAnsi="Tahoma" w:cs="Tahoma"/>
          <w:b/>
          <w:sz w:val="26"/>
          <w:szCs w:val="26"/>
        </w:rPr>
        <w:tab/>
      </w:r>
      <w:r>
        <w:rPr>
          <w:b/>
          <w:sz w:val="28"/>
          <w:szCs w:val="28"/>
        </w:rPr>
        <w:t>Art.1.(1)</w:t>
      </w:r>
      <w:r>
        <w:rPr>
          <w:sz w:val="28"/>
          <w:szCs w:val="28"/>
        </w:rPr>
        <w:t xml:space="preserve"> Se aprobă trecerea bunului imobil cu denumirea „Clădire Muzeu” din domeniul public al comunei Colţi și din administrarea consiliului local în domeniul public al judeţului Buzău, identificat potrivit anexei, care face parte integrantă din prezenta hotărâre.</w:t>
      </w:r>
    </w:p>
    <w:p w:rsidR="00F766C9" w:rsidRDefault="00F766C9" w:rsidP="00F766C9">
      <w:pPr>
        <w:ind w:firstLine="720"/>
        <w:jc w:val="both"/>
        <w:rPr>
          <w:bCs/>
          <w:sz w:val="28"/>
          <w:szCs w:val="28"/>
        </w:rPr>
      </w:pPr>
      <w:r>
        <w:rPr>
          <w:b/>
          <w:bCs/>
          <w:sz w:val="28"/>
          <w:szCs w:val="28"/>
        </w:rPr>
        <w:t>(2)</w:t>
      </w:r>
      <w:r>
        <w:rPr>
          <w:bCs/>
          <w:sz w:val="28"/>
          <w:szCs w:val="28"/>
        </w:rPr>
        <w:t xml:space="preserve"> Imobilul menționat la alin.(1) are destinația de ”Muzeul Chihlimbarului”, având suprafață construită de 124 mp și terenul aferent de 1600 mp.</w:t>
      </w:r>
    </w:p>
    <w:p w:rsidR="00F766C9" w:rsidRDefault="00F766C9" w:rsidP="00F766C9">
      <w:pPr>
        <w:jc w:val="both"/>
        <w:rPr>
          <w:rFonts w:ascii="Tahoma" w:hAnsi="Tahoma" w:cs="Tahoma"/>
          <w:sz w:val="26"/>
          <w:szCs w:val="26"/>
        </w:rPr>
      </w:pPr>
    </w:p>
    <w:p w:rsidR="00F766C9" w:rsidRDefault="00F766C9" w:rsidP="00F766C9">
      <w:pPr>
        <w:ind w:firstLine="708"/>
        <w:jc w:val="both"/>
        <w:rPr>
          <w:rFonts w:ascii="Tahoma" w:hAnsi="Tahoma" w:cs="Tahoma"/>
          <w:sz w:val="26"/>
          <w:szCs w:val="26"/>
        </w:rPr>
      </w:pPr>
      <w:r>
        <w:rPr>
          <w:rFonts w:ascii="Tahoma" w:hAnsi="Tahoma" w:cs="Tahoma"/>
          <w:b/>
          <w:sz w:val="26"/>
          <w:szCs w:val="26"/>
        </w:rPr>
        <w:lastRenderedPageBreak/>
        <w:t>Art.2.</w:t>
      </w:r>
      <w:r>
        <w:rPr>
          <w:rFonts w:ascii="Tahoma" w:hAnsi="Tahoma" w:cs="Tahoma"/>
          <w:sz w:val="26"/>
          <w:szCs w:val="26"/>
        </w:rPr>
        <w:t xml:space="preserve"> La Secţiunea I „Bunuri imobile” din Inventarul bunurilor care aparţin domeniului public al comunei Colţi se abrogă poziţia nr.106.</w:t>
      </w:r>
    </w:p>
    <w:p w:rsidR="00F766C9" w:rsidRDefault="00F766C9" w:rsidP="00F766C9">
      <w:pPr>
        <w:jc w:val="both"/>
        <w:rPr>
          <w:rFonts w:ascii="Tahoma" w:hAnsi="Tahoma" w:cs="Tahoma"/>
          <w:sz w:val="26"/>
          <w:szCs w:val="26"/>
        </w:rPr>
      </w:pPr>
      <w:r>
        <w:rPr>
          <w:rFonts w:ascii="Tahoma" w:hAnsi="Tahoma" w:cs="Tahoma"/>
          <w:sz w:val="26"/>
          <w:szCs w:val="26"/>
        </w:rPr>
        <w:tab/>
      </w:r>
      <w:r>
        <w:rPr>
          <w:rFonts w:ascii="Tahoma" w:hAnsi="Tahoma" w:cs="Tahoma"/>
          <w:b/>
          <w:sz w:val="26"/>
          <w:szCs w:val="26"/>
        </w:rPr>
        <w:t>Art.3</w:t>
      </w:r>
      <w:r>
        <w:rPr>
          <w:rFonts w:ascii="Tahoma" w:hAnsi="Tahoma" w:cs="Tahoma"/>
          <w:sz w:val="26"/>
          <w:szCs w:val="26"/>
        </w:rPr>
        <w:t xml:space="preserve"> Anexa la Hotărârea Consiliului Local Colţi nr. 21/1999 privind însuşirea Inventarului bunurilor care aparţin domeniului public al comunei Colţi, cu modificările şi completările ulterioare, se modifică conform art.2 din prezenta hotărâre.</w:t>
      </w:r>
    </w:p>
    <w:p w:rsidR="00F766C9" w:rsidRDefault="00F766C9" w:rsidP="00F766C9">
      <w:pPr>
        <w:jc w:val="both"/>
        <w:rPr>
          <w:rFonts w:ascii="Tahoma" w:hAnsi="Tahoma" w:cs="Tahoma"/>
          <w:sz w:val="26"/>
          <w:szCs w:val="26"/>
        </w:rPr>
      </w:pPr>
      <w:r>
        <w:rPr>
          <w:rFonts w:ascii="Tahoma" w:hAnsi="Tahoma" w:cs="Tahoma"/>
          <w:sz w:val="26"/>
          <w:szCs w:val="26"/>
        </w:rPr>
        <w:tab/>
      </w:r>
      <w:r>
        <w:rPr>
          <w:rFonts w:ascii="Tahoma" w:hAnsi="Tahoma" w:cs="Tahoma"/>
          <w:b/>
          <w:sz w:val="26"/>
          <w:szCs w:val="26"/>
        </w:rPr>
        <w:t xml:space="preserve">Art.4. </w:t>
      </w:r>
      <w:r>
        <w:rPr>
          <w:rFonts w:ascii="Tahoma" w:hAnsi="Tahoma" w:cs="Tahoma"/>
          <w:sz w:val="26"/>
          <w:szCs w:val="26"/>
        </w:rPr>
        <w:t xml:space="preserve">Primarul comunei va stabili, prin dispoziţie, comisia de predare bunului imobil menţionat, care va încheia cu reprezentanţii Consiliului judeţean Buzău procesul-verbal de predare-preluare a acestuia.  </w:t>
      </w:r>
    </w:p>
    <w:p w:rsidR="00F766C9" w:rsidRDefault="00F766C9" w:rsidP="00F766C9">
      <w:pPr>
        <w:ind w:firstLine="708"/>
        <w:jc w:val="both"/>
        <w:rPr>
          <w:rFonts w:ascii="Tahoma" w:hAnsi="Tahoma" w:cs="Tahoma"/>
          <w:sz w:val="26"/>
          <w:szCs w:val="26"/>
        </w:rPr>
      </w:pPr>
      <w:r>
        <w:rPr>
          <w:rFonts w:ascii="Tahoma" w:hAnsi="Tahoma" w:cs="Tahoma"/>
          <w:b/>
          <w:sz w:val="26"/>
          <w:szCs w:val="26"/>
        </w:rPr>
        <w:t>Art.5.</w:t>
      </w:r>
      <w:r>
        <w:rPr>
          <w:rFonts w:ascii="Tahoma" w:hAnsi="Tahoma" w:cs="Tahoma"/>
          <w:sz w:val="26"/>
          <w:szCs w:val="26"/>
        </w:rPr>
        <w:t xml:space="preserve"> Secretarul comunei va asigura comunicarea hotărârii autorităţilor şi instituţiilor interesate.</w:t>
      </w:r>
    </w:p>
    <w:p w:rsidR="00F766C9" w:rsidRDefault="00F766C9" w:rsidP="00F766C9">
      <w:pPr>
        <w:ind w:firstLine="708"/>
        <w:jc w:val="both"/>
        <w:rPr>
          <w:rFonts w:ascii="Tahoma" w:hAnsi="Tahoma" w:cs="Tahoma"/>
          <w:sz w:val="26"/>
          <w:szCs w:val="26"/>
        </w:rPr>
      </w:pPr>
    </w:p>
    <w:p w:rsidR="00F766C9" w:rsidRDefault="00F766C9" w:rsidP="00F766C9">
      <w:pPr>
        <w:ind w:firstLine="708"/>
        <w:jc w:val="both"/>
        <w:rPr>
          <w:rFonts w:ascii="Tahoma" w:hAnsi="Tahoma" w:cs="Tahoma"/>
          <w:sz w:val="26"/>
          <w:szCs w:val="26"/>
        </w:rPr>
      </w:pPr>
    </w:p>
    <w:p w:rsidR="00A96478" w:rsidRPr="00A96478" w:rsidRDefault="00A96478" w:rsidP="00A96478">
      <w:pPr>
        <w:rPr>
          <w:b/>
          <w:sz w:val="28"/>
          <w:szCs w:val="28"/>
          <w:lang w:val="fr-FR"/>
        </w:rPr>
      </w:pPr>
      <w:r w:rsidRPr="00A96478">
        <w:rPr>
          <w:sz w:val="28"/>
          <w:szCs w:val="28"/>
          <w:lang w:val="fr-FR"/>
        </w:rPr>
        <w:t xml:space="preserve">Nr. </w:t>
      </w:r>
      <w:r w:rsidRPr="00A96478">
        <w:rPr>
          <w:b/>
          <w:sz w:val="28"/>
          <w:szCs w:val="28"/>
          <w:lang w:val="fr-FR"/>
        </w:rPr>
        <w:t>1</w:t>
      </w:r>
    </w:p>
    <w:p w:rsidR="00A96478" w:rsidRDefault="00A96478" w:rsidP="00A96478">
      <w:pPr>
        <w:rPr>
          <w:lang w:val="fr-FR"/>
        </w:rPr>
      </w:pPr>
    </w:p>
    <w:p w:rsidR="00A96478" w:rsidRDefault="00A96478" w:rsidP="00A96478">
      <w:pPr>
        <w:rPr>
          <w:sz w:val="28"/>
          <w:szCs w:val="28"/>
          <w:lang w:val="fr-FR"/>
        </w:rPr>
      </w:pPr>
      <w:proofErr w:type="spellStart"/>
      <w:proofErr w:type="gramStart"/>
      <w:r>
        <w:rPr>
          <w:sz w:val="28"/>
          <w:szCs w:val="28"/>
          <w:lang w:val="fr-FR"/>
        </w:rPr>
        <w:t>Colţi</w:t>
      </w:r>
      <w:proofErr w:type="spellEnd"/>
      <w:r>
        <w:rPr>
          <w:sz w:val="28"/>
          <w:szCs w:val="28"/>
          <w:lang w:val="fr-FR"/>
        </w:rPr>
        <w:t xml:space="preserve"> ,</w:t>
      </w:r>
      <w:proofErr w:type="gramEnd"/>
      <w:r>
        <w:rPr>
          <w:sz w:val="28"/>
          <w:szCs w:val="28"/>
          <w:lang w:val="fr-FR"/>
        </w:rPr>
        <w:t xml:space="preserve"> 31 </w:t>
      </w:r>
      <w:proofErr w:type="spellStart"/>
      <w:r>
        <w:rPr>
          <w:sz w:val="28"/>
          <w:szCs w:val="28"/>
          <w:lang w:val="fr-FR"/>
        </w:rPr>
        <w:t>ianuarie</w:t>
      </w:r>
      <w:proofErr w:type="spellEnd"/>
      <w:r>
        <w:rPr>
          <w:sz w:val="28"/>
          <w:szCs w:val="28"/>
          <w:lang w:val="fr-FR"/>
        </w:rPr>
        <w:t xml:space="preserve">  2019     </w:t>
      </w:r>
    </w:p>
    <w:p w:rsidR="00A96478" w:rsidRDefault="00A96478" w:rsidP="00A96478">
      <w:pPr>
        <w:rPr>
          <w:sz w:val="28"/>
          <w:szCs w:val="28"/>
          <w:lang w:val="fr-FR"/>
        </w:rPr>
      </w:pPr>
      <w:r>
        <w:rPr>
          <w:sz w:val="28"/>
          <w:szCs w:val="28"/>
          <w:lang w:val="fr-FR"/>
        </w:rPr>
        <w:t xml:space="preserve">                 </w:t>
      </w:r>
    </w:p>
    <w:p w:rsidR="00A96478" w:rsidRPr="00A96478" w:rsidRDefault="00A96478" w:rsidP="00A96478">
      <w:pPr>
        <w:rPr>
          <w:sz w:val="28"/>
          <w:szCs w:val="28"/>
        </w:rPr>
      </w:pPr>
      <w:r w:rsidRPr="00A96478">
        <w:rPr>
          <w:sz w:val="28"/>
          <w:szCs w:val="28"/>
          <w:lang w:val="fr-FR"/>
        </w:rPr>
        <w:t xml:space="preserve">                        </w:t>
      </w:r>
      <w:r>
        <w:rPr>
          <w:sz w:val="28"/>
          <w:szCs w:val="28"/>
          <w:lang w:val="fr-FR"/>
        </w:rPr>
        <w:t xml:space="preserve">                  </w:t>
      </w:r>
      <w:r w:rsidRPr="00A96478">
        <w:rPr>
          <w:sz w:val="28"/>
          <w:szCs w:val="28"/>
        </w:rPr>
        <w:t>PREŞEDINTE DE ŞEDINŢĂ,</w:t>
      </w:r>
    </w:p>
    <w:p w:rsidR="00A96478" w:rsidRPr="00A96478" w:rsidRDefault="00A96478" w:rsidP="00A96478">
      <w:pPr>
        <w:rPr>
          <w:sz w:val="28"/>
          <w:szCs w:val="28"/>
        </w:rPr>
      </w:pPr>
    </w:p>
    <w:p w:rsidR="00A96478" w:rsidRPr="00A96478" w:rsidRDefault="00A96478" w:rsidP="00A96478">
      <w:pPr>
        <w:rPr>
          <w:sz w:val="28"/>
          <w:szCs w:val="28"/>
        </w:rPr>
      </w:pPr>
      <w:r w:rsidRPr="00A96478">
        <w:rPr>
          <w:sz w:val="28"/>
          <w:szCs w:val="28"/>
        </w:rPr>
        <w:t xml:space="preserve">                                              </w:t>
      </w:r>
      <w:r>
        <w:rPr>
          <w:sz w:val="28"/>
          <w:szCs w:val="28"/>
        </w:rPr>
        <w:t xml:space="preserve">             </w:t>
      </w:r>
      <w:r w:rsidRPr="00A96478">
        <w:rPr>
          <w:sz w:val="28"/>
          <w:szCs w:val="28"/>
        </w:rPr>
        <w:t>Chiru Daniel</w:t>
      </w:r>
    </w:p>
    <w:p w:rsidR="00A96478" w:rsidRDefault="00A96478" w:rsidP="00A96478">
      <w:pPr>
        <w:jc w:val="center"/>
      </w:pPr>
      <w:r>
        <w:t xml:space="preserve">                                                                                                                                        </w:t>
      </w:r>
    </w:p>
    <w:p w:rsidR="00A96478" w:rsidRDefault="00A96478" w:rsidP="00A96478">
      <w:pPr>
        <w:jc w:val="center"/>
      </w:pPr>
      <w:r>
        <w:t xml:space="preserve">                                                                                                              CONTRASEMNEAZĂ:</w:t>
      </w:r>
    </w:p>
    <w:p w:rsidR="00A96478" w:rsidRDefault="00A96478" w:rsidP="00A96478">
      <w:pPr>
        <w:jc w:val="center"/>
      </w:pPr>
      <w:r>
        <w:t xml:space="preserve">                                                                                                                 SECRETAR,</w:t>
      </w:r>
    </w:p>
    <w:p w:rsidR="00A96478" w:rsidRDefault="00A96478" w:rsidP="00A96478">
      <w:pPr>
        <w:jc w:val="center"/>
      </w:pPr>
      <w:r>
        <w:t xml:space="preserve">                                                                                                                 Ştefan </w:t>
      </w:r>
      <w:proofErr w:type="spellStart"/>
      <w:r>
        <w:t>Frăţiloiu</w:t>
      </w:r>
      <w:proofErr w:type="spellEnd"/>
    </w:p>
    <w:p w:rsidR="00A96478" w:rsidRDefault="00A96478" w:rsidP="00A96478">
      <w:pPr>
        <w:jc w:val="center"/>
      </w:pPr>
    </w:p>
    <w:p w:rsidR="00A96478" w:rsidRDefault="00A96478" w:rsidP="00A96478">
      <w:pPr>
        <w:jc w:val="center"/>
      </w:pPr>
    </w:p>
    <w:p w:rsidR="00A96478" w:rsidRDefault="00A96478" w:rsidP="00A96478">
      <w:pPr>
        <w:jc w:val="center"/>
      </w:pPr>
    </w:p>
    <w:p w:rsidR="00A96478" w:rsidRDefault="00A96478" w:rsidP="00A96478">
      <w:pPr>
        <w:jc w:val="center"/>
      </w:pPr>
    </w:p>
    <w:p w:rsidR="00A96478" w:rsidRDefault="00A96478" w:rsidP="00A96478">
      <w:pPr>
        <w:jc w:val="center"/>
      </w:pPr>
    </w:p>
    <w:p w:rsidR="00A96478" w:rsidRDefault="00A96478" w:rsidP="00A96478">
      <w:pPr>
        <w:jc w:val="center"/>
        <w:rPr>
          <w:sz w:val="28"/>
        </w:rPr>
      </w:pPr>
    </w:p>
    <w:p w:rsidR="00A96478" w:rsidRDefault="00A96478" w:rsidP="00A96478">
      <w:pPr>
        <w:rPr>
          <w:color w:val="000000"/>
          <w:sz w:val="22"/>
          <w:szCs w:val="22"/>
        </w:rPr>
      </w:pPr>
      <w:r>
        <w:rPr>
          <w:color w:val="000000"/>
          <w:sz w:val="22"/>
          <w:szCs w:val="22"/>
        </w:rPr>
        <w:t xml:space="preserve">Hotărârea a fost adoptată cu </w:t>
      </w:r>
      <w:r w:rsidR="006D589B">
        <w:rPr>
          <w:b/>
          <w:color w:val="000000"/>
          <w:sz w:val="22"/>
          <w:szCs w:val="22"/>
        </w:rPr>
        <w:t xml:space="preserve">8 </w:t>
      </w:r>
      <w:r>
        <w:rPr>
          <w:color w:val="000000"/>
          <w:sz w:val="22"/>
          <w:szCs w:val="22"/>
        </w:rPr>
        <w:t xml:space="preserve">voturi pentru, _voturi împotrivă şi _abţineri din numărul total de </w:t>
      </w:r>
      <w:r>
        <w:rPr>
          <w:b/>
          <w:color w:val="000000"/>
          <w:sz w:val="22"/>
          <w:szCs w:val="22"/>
        </w:rPr>
        <w:t xml:space="preserve"> 9</w:t>
      </w:r>
      <w:r>
        <w:rPr>
          <w:color w:val="000000"/>
          <w:sz w:val="22"/>
          <w:szCs w:val="22"/>
        </w:rPr>
        <w:t xml:space="preserve"> consilieri aleși, respectiv </w:t>
      </w:r>
      <w:r w:rsidR="006D589B">
        <w:rPr>
          <w:b/>
          <w:bCs/>
          <w:color w:val="000000"/>
          <w:sz w:val="22"/>
          <w:szCs w:val="22"/>
        </w:rPr>
        <w:t>9</w:t>
      </w:r>
      <w:r>
        <w:rPr>
          <w:color w:val="000000"/>
          <w:sz w:val="22"/>
          <w:szCs w:val="22"/>
        </w:rPr>
        <w:t xml:space="preserve"> consilieri prezenți la şedinţă .</w:t>
      </w:r>
      <w:r w:rsidR="006D589B">
        <w:rPr>
          <w:color w:val="000000"/>
          <w:sz w:val="22"/>
          <w:szCs w:val="22"/>
        </w:rPr>
        <w:t xml:space="preserve"> </w:t>
      </w:r>
    </w:p>
    <w:p w:rsidR="00A96478" w:rsidRDefault="00A96478" w:rsidP="00A96478">
      <w:pPr>
        <w:rPr>
          <w:sz w:val="22"/>
          <w:szCs w:val="22"/>
        </w:rPr>
      </w:pPr>
    </w:p>
    <w:p w:rsidR="00CB5D6E" w:rsidRDefault="00A96478" w:rsidP="00CB5D6E">
      <w:pPr>
        <w:rPr>
          <w:lang w:val="de-DE"/>
        </w:rPr>
      </w:pPr>
      <w:r>
        <w:rPr>
          <w:sz w:val="28"/>
          <w:szCs w:val="28"/>
          <w:lang w:val="fr-FR"/>
        </w:rPr>
        <w:t xml:space="preserve"> </w:t>
      </w:r>
    </w:p>
    <w:p w:rsidR="00F766C9" w:rsidRDefault="00F766C9" w:rsidP="00F766C9">
      <w:pPr>
        <w:ind w:firstLine="708"/>
        <w:jc w:val="both"/>
        <w:rPr>
          <w:rFonts w:ascii="Tahoma" w:hAnsi="Tahoma" w:cs="Tahoma"/>
          <w:sz w:val="26"/>
          <w:szCs w:val="26"/>
        </w:rPr>
      </w:pPr>
    </w:p>
    <w:sectPr w:rsidR="00F766C9" w:rsidSect="00CB5D6E">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66C9"/>
    <w:rsid w:val="00371B97"/>
    <w:rsid w:val="003A1096"/>
    <w:rsid w:val="006508C7"/>
    <w:rsid w:val="006D589B"/>
    <w:rsid w:val="00A96478"/>
    <w:rsid w:val="00B73B9C"/>
    <w:rsid w:val="00CB5D6E"/>
    <w:rsid w:val="00F766C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C9"/>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B5D6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B5D6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divs>
    <w:div w:id="8599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steme\clip0001.GIF"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554</Words>
  <Characters>3218</Characters>
  <Application>Microsoft Office Word</Application>
  <DocSecurity>0</DocSecurity>
  <Lines>26</Lines>
  <Paragraphs>7</Paragraphs>
  <ScaleCrop>false</ScaleCrop>
  <Company>Unitate Scolara</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8</cp:revision>
  <dcterms:created xsi:type="dcterms:W3CDTF">2019-01-30T12:49:00Z</dcterms:created>
  <dcterms:modified xsi:type="dcterms:W3CDTF">2019-02-04T12:47:00Z</dcterms:modified>
</cp:coreProperties>
</file>